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F8" w:rsidRPr="00977BF8" w:rsidRDefault="00977BF8" w:rsidP="00977BF8">
      <w:pPr>
        <w:keepNext/>
        <w:spacing w:before="240" w:after="60"/>
        <w:outlineLvl w:val="0"/>
        <w:rPr>
          <w:rFonts w:ascii="Cambria" w:eastAsia="Times New Roman" w:hAnsi="Cambria"/>
          <w:b/>
          <w:bCs/>
          <w:color w:val="auto"/>
          <w:kern w:val="32"/>
          <w:sz w:val="32"/>
          <w:szCs w:val="32"/>
          <w:lang w:val="en-US"/>
        </w:rPr>
      </w:pPr>
      <w:bookmarkStart w:id="0" w:name="_Toc419471439"/>
      <w:r w:rsidRPr="00977BF8">
        <w:rPr>
          <w:rFonts w:ascii="Cambria" w:eastAsia="Times New Roman" w:hAnsi="Cambria"/>
          <w:b/>
          <w:bCs/>
          <w:color w:val="auto"/>
          <w:kern w:val="32"/>
          <w:sz w:val="32"/>
          <w:szCs w:val="32"/>
          <w:lang w:val="en-US"/>
        </w:rPr>
        <w:t>Indicator 14.1.1</w:t>
      </w:r>
      <w:bookmarkEnd w:id="0"/>
    </w:p>
    <w:p w:rsidR="00977BF8" w:rsidRPr="00977BF8" w:rsidRDefault="00977BF8" w:rsidP="00977BF8">
      <w:pPr>
        <w:rPr>
          <w:rFonts w:ascii="Tahoma" w:eastAsia="Times New Roman" w:hAnsi="Tahoma" w:cs="Tahoma"/>
          <w:bCs/>
          <w:color w:val="FF0000"/>
          <w:sz w:val="20"/>
          <w:szCs w:val="20"/>
          <w:lang w:val="en-US"/>
        </w:rPr>
      </w:pPr>
    </w:p>
    <w:p w:rsidR="00977BF8" w:rsidRPr="00977BF8" w:rsidRDefault="00977BF8" w:rsidP="00977BF8">
      <w:pPr>
        <w:rPr>
          <w:rFonts w:ascii="Tahoma" w:eastAsia="Times New Roman" w:hAnsi="Tahoma" w:cs="Tahoma"/>
          <w:bCs/>
          <w:sz w:val="20"/>
          <w:szCs w:val="20"/>
          <w:lang w:val="en-US"/>
        </w:rPr>
      </w:pPr>
      <w:r w:rsidRPr="00977BF8">
        <w:rPr>
          <w:rFonts w:ascii="Tahoma" w:eastAsia="Times New Roman" w:hAnsi="Tahoma" w:cs="Tahoma"/>
          <w:bCs/>
          <w:sz w:val="20"/>
          <w:szCs w:val="20"/>
          <w:lang w:val="en-US"/>
        </w:rPr>
        <w:t>The target is related to preventing and reducing the effects of different types of marine pollution (wastewater, run off from agriculture</w:t>
      </w:r>
      <w:proofErr w:type="gramStart"/>
      <w:r w:rsidRPr="00977BF8">
        <w:rPr>
          <w:rFonts w:ascii="Tahoma" w:eastAsia="Times New Roman" w:hAnsi="Tahoma" w:cs="Tahoma"/>
          <w:bCs/>
          <w:sz w:val="20"/>
          <w:szCs w:val="20"/>
          <w:lang w:val="en-US"/>
        </w:rPr>
        <w:t>,…</w:t>
      </w:r>
      <w:proofErr w:type="gramEnd"/>
      <w:r w:rsidRPr="00977BF8">
        <w:rPr>
          <w:rFonts w:ascii="Tahoma" w:eastAsia="Times New Roman" w:hAnsi="Tahoma" w:cs="Tahoma"/>
          <w:bCs/>
          <w:sz w:val="20"/>
          <w:szCs w:val="20"/>
          <w:lang w:val="en-US"/>
        </w:rPr>
        <w:t xml:space="preserve">). It specifically refers to nutrient pollution and marine debris. The main nutrient pollutant for assessment focus is nitrogen. There is long term data on reactive nitrogen deposition and there is growing knowledge on nitrogen balances based on inputs versus outputs and by extension, surpluses, particularly with respect to agriculture (including livestock husbandry) which can be used to assess progress towards this target. Phosphorous loading and impacts on the environment continues as a subject of research as concerns its role as a controlling element in determining the extent of eutrophication; the various forms in which it is resident in the environment (dissolved to particulate) influence the degree to which these forms may impact ecosystems. This was proposed after consultation with the Global Partnership on Nutrient Management supported by the UNEP-GPA. </w:t>
      </w:r>
    </w:p>
    <w:p w:rsidR="00977BF8" w:rsidRPr="00977BF8" w:rsidRDefault="00977BF8" w:rsidP="00977BF8">
      <w:pPr>
        <w:rPr>
          <w:rFonts w:ascii="Tahoma" w:eastAsia="Times New Roman" w:hAnsi="Tahoma" w:cs="Tahoma"/>
          <w:bCs/>
          <w:sz w:val="20"/>
          <w:szCs w:val="20"/>
          <w:lang w:val="en-US"/>
        </w:rPr>
      </w:pPr>
    </w:p>
    <w:p w:rsidR="00977BF8" w:rsidRPr="00977BF8" w:rsidRDefault="00977BF8" w:rsidP="00977BF8">
      <w:pPr>
        <w:rPr>
          <w:rFonts w:ascii="Tahoma" w:eastAsia="Times New Roman" w:hAnsi="Tahoma" w:cs="Tahoma"/>
          <w:bCs/>
          <w:sz w:val="20"/>
          <w:szCs w:val="20"/>
          <w:lang w:val="en-US"/>
        </w:rPr>
      </w:pPr>
      <w:r w:rsidRPr="00977BF8">
        <w:rPr>
          <w:rFonts w:ascii="Tahoma" w:eastAsia="Times New Roman" w:hAnsi="Tahoma" w:cs="Tahoma"/>
          <w:b/>
          <w:bCs/>
          <w:sz w:val="20"/>
          <w:szCs w:val="20"/>
          <w:lang w:val="en-US"/>
        </w:rPr>
        <w:t>Alternative indicator 14.1.1</w:t>
      </w:r>
      <w:r w:rsidRPr="00977BF8">
        <w:rPr>
          <w:rFonts w:ascii="Tahoma" w:eastAsia="Times New Roman" w:hAnsi="Tahoma" w:cs="Tahoma"/>
          <w:bCs/>
          <w:sz w:val="20"/>
          <w:szCs w:val="20"/>
          <w:lang w:val="en-US"/>
        </w:rPr>
        <w:t xml:space="preserve"> = Nitrogen use Efficiency</w:t>
      </w:r>
    </w:p>
    <w:p w:rsidR="00977BF8" w:rsidRPr="00977BF8" w:rsidRDefault="00977BF8" w:rsidP="00977BF8">
      <w:pPr>
        <w:rPr>
          <w:rFonts w:ascii="Tahoma" w:eastAsia="Times New Roman" w:hAnsi="Tahoma" w:cs="Tahoma"/>
          <w:bCs/>
          <w:sz w:val="20"/>
          <w:szCs w:val="20"/>
          <w:lang w:val="en-US"/>
        </w:rPr>
      </w:pPr>
    </w:p>
    <w:p w:rsidR="00977BF8" w:rsidRPr="00977BF8" w:rsidRDefault="00977BF8" w:rsidP="00977BF8">
      <w:pPr>
        <w:keepNext/>
        <w:spacing w:before="240" w:after="60"/>
        <w:outlineLvl w:val="0"/>
        <w:rPr>
          <w:rFonts w:ascii="Cambria" w:eastAsia="Times New Roman" w:hAnsi="Cambria"/>
          <w:b/>
          <w:bCs/>
          <w:color w:val="auto"/>
          <w:kern w:val="32"/>
          <w:sz w:val="32"/>
          <w:szCs w:val="32"/>
          <w:lang w:val="en-US"/>
        </w:rPr>
      </w:pPr>
      <w:bookmarkStart w:id="1" w:name="_Toc419471440"/>
      <w:r w:rsidRPr="00977BF8">
        <w:rPr>
          <w:rFonts w:ascii="Cambria" w:eastAsia="Times New Roman" w:hAnsi="Cambria"/>
          <w:b/>
          <w:bCs/>
          <w:color w:val="auto"/>
          <w:kern w:val="32"/>
          <w:sz w:val="32"/>
          <w:szCs w:val="32"/>
          <w:lang w:val="en-US"/>
        </w:rPr>
        <w:t>Indicators 14.5.1 and 14.5.2</w:t>
      </w:r>
      <w:bookmarkEnd w:id="1"/>
      <w:r w:rsidRPr="00977BF8">
        <w:rPr>
          <w:rFonts w:ascii="Cambria" w:eastAsia="Times New Roman" w:hAnsi="Cambria"/>
          <w:b/>
          <w:bCs/>
          <w:color w:val="auto"/>
          <w:kern w:val="32"/>
          <w:sz w:val="32"/>
          <w:szCs w:val="32"/>
          <w:lang w:val="en-US"/>
        </w:rPr>
        <w:t xml:space="preserve"> </w:t>
      </w:r>
    </w:p>
    <w:p w:rsidR="00977BF8" w:rsidRPr="00977BF8" w:rsidRDefault="00977BF8" w:rsidP="00977BF8">
      <w:pPr>
        <w:rPr>
          <w:rFonts w:ascii="Tahoma" w:eastAsia="Times New Roman" w:hAnsi="Tahoma" w:cs="Tahoma"/>
          <w:bCs/>
          <w:sz w:val="20"/>
          <w:szCs w:val="20"/>
          <w:lang w:val="en-US"/>
        </w:rPr>
      </w:pPr>
      <w:r w:rsidRPr="00977BF8">
        <w:rPr>
          <w:rFonts w:ascii="Tahoma" w:eastAsia="Times New Roman" w:hAnsi="Tahoma" w:cs="Tahoma"/>
          <w:bCs/>
          <w:sz w:val="20"/>
          <w:szCs w:val="20"/>
          <w:lang w:val="en-US"/>
        </w:rPr>
        <w:t xml:space="preserve">These two seem very similar. We suggest that 14.5.1 could include some measure of regulatory frameworks for human activities in coastal and marine areas. Rather than coverage, indicator 14.5.2 should probably measure status of implementation of management plans </w:t>
      </w:r>
      <w:proofErr w:type="spellStart"/>
      <w:r w:rsidRPr="00977BF8">
        <w:rPr>
          <w:rFonts w:ascii="Tahoma" w:eastAsia="Times New Roman" w:hAnsi="Tahoma" w:cs="Tahoma"/>
          <w:bCs/>
          <w:sz w:val="20"/>
          <w:szCs w:val="20"/>
          <w:lang w:val="en-US"/>
        </w:rPr>
        <w:t>etc</w:t>
      </w:r>
      <w:proofErr w:type="spellEnd"/>
      <w:r w:rsidRPr="00977BF8">
        <w:rPr>
          <w:rFonts w:ascii="Tahoma" w:eastAsia="Times New Roman" w:hAnsi="Tahoma" w:cs="Tahoma"/>
          <w:bCs/>
          <w:sz w:val="20"/>
          <w:szCs w:val="20"/>
          <w:lang w:val="en-US"/>
        </w:rPr>
        <w:t xml:space="preserve"> and/or their effectiveness.</w:t>
      </w:r>
    </w:p>
    <w:p w:rsidR="00977BF8" w:rsidRPr="00977BF8" w:rsidRDefault="00977BF8" w:rsidP="00977BF8">
      <w:pPr>
        <w:rPr>
          <w:rFonts w:ascii="Tahoma" w:eastAsia="Times New Roman" w:hAnsi="Tahoma" w:cs="Tahoma"/>
          <w:bCs/>
          <w:sz w:val="20"/>
          <w:szCs w:val="20"/>
          <w:lang w:val="en-US"/>
        </w:rPr>
      </w:pPr>
    </w:p>
    <w:p w:rsidR="00977BF8" w:rsidRPr="00977BF8" w:rsidRDefault="00977BF8" w:rsidP="00977BF8">
      <w:pPr>
        <w:keepNext/>
        <w:spacing w:before="240" w:after="60"/>
        <w:outlineLvl w:val="0"/>
        <w:rPr>
          <w:rFonts w:ascii="Cambria" w:eastAsia="Times New Roman" w:hAnsi="Cambria"/>
          <w:b/>
          <w:bCs/>
          <w:color w:val="auto"/>
          <w:kern w:val="32"/>
          <w:sz w:val="32"/>
          <w:szCs w:val="32"/>
          <w:lang w:val="en-US"/>
        </w:rPr>
      </w:pPr>
      <w:bookmarkStart w:id="2" w:name="_Toc419471441"/>
      <w:r w:rsidRPr="00977BF8">
        <w:rPr>
          <w:rFonts w:ascii="Cambria" w:eastAsia="Times New Roman" w:hAnsi="Cambria"/>
          <w:b/>
          <w:bCs/>
          <w:color w:val="auto"/>
          <w:kern w:val="32"/>
          <w:sz w:val="32"/>
          <w:szCs w:val="32"/>
          <w:lang w:val="en-US"/>
        </w:rPr>
        <w:t>Indicators for Target 14.7</w:t>
      </w:r>
      <w:bookmarkEnd w:id="2"/>
    </w:p>
    <w:p w:rsidR="00977BF8" w:rsidRPr="00977BF8" w:rsidRDefault="00977BF8" w:rsidP="00977BF8">
      <w:pPr>
        <w:rPr>
          <w:rFonts w:ascii="Tahoma" w:eastAsia="Times New Roman" w:hAnsi="Tahoma" w:cs="Tahoma"/>
          <w:bCs/>
          <w:sz w:val="20"/>
          <w:szCs w:val="20"/>
          <w:lang w:val="en-US"/>
        </w:rPr>
      </w:pPr>
      <w:r w:rsidRPr="00977BF8">
        <w:rPr>
          <w:rFonts w:ascii="Tahoma" w:eastAsia="Times New Roman" w:hAnsi="Tahoma" w:cs="Tahoma"/>
          <w:bCs/>
          <w:sz w:val="20"/>
          <w:szCs w:val="20"/>
          <w:lang w:val="en-US"/>
        </w:rPr>
        <w:t xml:space="preserve">Both indicators need more effort at quantification. </w:t>
      </w:r>
    </w:p>
    <w:p w:rsidR="00977BF8" w:rsidRPr="00977BF8" w:rsidRDefault="00977BF8" w:rsidP="00977BF8">
      <w:pPr>
        <w:numPr>
          <w:ilvl w:val="0"/>
          <w:numId w:val="2"/>
        </w:numPr>
        <w:rPr>
          <w:rFonts w:ascii="Tahoma" w:eastAsia="Times New Roman" w:hAnsi="Tahoma" w:cs="Tahoma"/>
          <w:bCs/>
          <w:sz w:val="20"/>
          <w:szCs w:val="20"/>
          <w:lang w:val="en-US"/>
        </w:rPr>
      </w:pPr>
      <w:r w:rsidRPr="00977BF8">
        <w:rPr>
          <w:rFonts w:ascii="Tahoma" w:eastAsia="Times New Roman" w:hAnsi="Tahoma" w:cs="Tahoma"/>
          <w:bCs/>
          <w:sz w:val="20"/>
          <w:szCs w:val="20"/>
          <w:lang w:val="en-US"/>
        </w:rPr>
        <w:t xml:space="preserve">Need to clarify unit of measure, fisheries landings? Revenues? Employment? </w:t>
      </w:r>
      <w:proofErr w:type="gramStart"/>
      <w:r w:rsidRPr="00977BF8">
        <w:rPr>
          <w:rFonts w:ascii="Tahoma" w:eastAsia="Times New Roman" w:hAnsi="Tahoma" w:cs="Tahoma"/>
          <w:bCs/>
          <w:sz w:val="20"/>
          <w:szCs w:val="20"/>
          <w:lang w:val="en-US"/>
        </w:rPr>
        <w:t>Etc..</w:t>
      </w:r>
      <w:proofErr w:type="gramEnd"/>
    </w:p>
    <w:p w:rsidR="00977BF8" w:rsidRPr="00977BF8" w:rsidRDefault="00977BF8" w:rsidP="00977BF8">
      <w:pPr>
        <w:numPr>
          <w:ilvl w:val="0"/>
          <w:numId w:val="1"/>
        </w:numPr>
        <w:rPr>
          <w:rFonts w:ascii="Tahoma" w:eastAsia="Times New Roman" w:hAnsi="Tahoma" w:cs="Tahoma"/>
          <w:bCs/>
          <w:sz w:val="20"/>
          <w:szCs w:val="20"/>
          <w:lang w:val="en-US"/>
        </w:rPr>
      </w:pPr>
      <w:r w:rsidRPr="00977BF8">
        <w:rPr>
          <w:rFonts w:ascii="Tahoma" w:eastAsia="Times New Roman" w:hAnsi="Tahoma" w:cs="Tahoma"/>
          <w:bCs/>
          <w:sz w:val="20"/>
          <w:szCs w:val="20"/>
          <w:lang w:val="en-US"/>
        </w:rPr>
        <w:t>Probably need a quantifiable measure of 'sustainable use' to make the indicator operational.</w:t>
      </w:r>
    </w:p>
    <w:p w:rsidR="00977BF8" w:rsidRPr="00977BF8" w:rsidRDefault="00977BF8" w:rsidP="00977BF8">
      <w:pPr>
        <w:rPr>
          <w:rFonts w:ascii="Tahoma" w:eastAsia="Times New Roman" w:hAnsi="Tahoma" w:cs="Tahoma"/>
          <w:bCs/>
          <w:sz w:val="20"/>
          <w:szCs w:val="20"/>
          <w:lang w:val="en-US"/>
        </w:rPr>
      </w:pPr>
      <w:r w:rsidRPr="00977BF8">
        <w:rPr>
          <w:rFonts w:ascii="Tahoma" w:eastAsia="Times New Roman" w:hAnsi="Tahoma" w:cs="Tahoma"/>
          <w:bCs/>
          <w:sz w:val="20"/>
          <w:szCs w:val="20"/>
          <w:lang w:val="en-US"/>
        </w:rPr>
        <w:t xml:space="preserve">We also believe that the social dimension should be integrated more, for example, a process indicator on community engagement in participatory planning and decision-making processes on resource allocation, zoning of human activities, etc. The indicator could </w:t>
      </w:r>
      <w:proofErr w:type="gramStart"/>
      <w:r w:rsidRPr="00977BF8">
        <w:rPr>
          <w:rFonts w:ascii="Tahoma" w:eastAsia="Times New Roman" w:hAnsi="Tahoma" w:cs="Tahoma"/>
          <w:bCs/>
          <w:sz w:val="20"/>
          <w:szCs w:val="20"/>
          <w:lang w:val="en-US"/>
        </w:rPr>
        <w:t>be :</w:t>
      </w:r>
      <w:proofErr w:type="gramEnd"/>
      <w:r w:rsidRPr="00977BF8">
        <w:rPr>
          <w:rFonts w:ascii="Tahoma" w:eastAsia="Times New Roman" w:hAnsi="Tahoma" w:cs="Tahoma"/>
          <w:bCs/>
          <w:sz w:val="20"/>
          <w:szCs w:val="20"/>
          <w:lang w:val="en-US"/>
        </w:rPr>
        <w:t xml:space="preserve"> </w:t>
      </w:r>
      <w:r w:rsidRPr="00977BF8">
        <w:rPr>
          <w:rFonts w:ascii="Tahoma" w:eastAsia="Times New Roman" w:hAnsi="Tahoma" w:cs="Tahoma"/>
          <w:bCs/>
          <w:i/>
          <w:sz w:val="20"/>
          <w:szCs w:val="20"/>
          <w:lang w:val="en-US"/>
        </w:rPr>
        <w:t>Engagement of local communities and small-scale users in natural resource use planning and access</w:t>
      </w:r>
      <w:r w:rsidRPr="00977BF8">
        <w:rPr>
          <w:rFonts w:ascii="Tahoma" w:eastAsia="Times New Roman" w:hAnsi="Tahoma" w:cs="Tahoma"/>
          <w:bCs/>
          <w:sz w:val="20"/>
          <w:szCs w:val="20"/>
          <w:lang w:val="en-US"/>
        </w:rPr>
        <w:t xml:space="preserve"> (Data source: local planning authorities, sector agencies).</w:t>
      </w:r>
    </w:p>
    <w:p w:rsidR="0035634B" w:rsidRPr="00977BF8" w:rsidRDefault="0035634B">
      <w:pPr>
        <w:rPr>
          <w:lang w:val="en-US"/>
        </w:rPr>
      </w:pPr>
      <w:bookmarkStart w:id="3" w:name="_GoBack"/>
      <w:bookmarkEnd w:id="3"/>
    </w:p>
    <w:sectPr w:rsidR="0035634B" w:rsidRPr="00977BF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A597D"/>
    <w:multiLevelType w:val="hybridMultilevel"/>
    <w:tmpl w:val="9922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7D7282"/>
    <w:multiLevelType w:val="hybridMultilevel"/>
    <w:tmpl w:val="6E3C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BF8"/>
    <w:rsid w:val="0035634B"/>
    <w:rsid w:val="00374D74"/>
    <w:rsid w:val="00977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2015-05-19T19:24:00Z</dcterms:created>
  <dcterms:modified xsi:type="dcterms:W3CDTF">2015-05-19T19:25:00Z</dcterms:modified>
</cp:coreProperties>
</file>